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Постановление Правительства РФ от 25 августа 2008 г. N 641 "Об оснащении транспортных, технических средств и систем аппаратурой спутниковой навигации ГЛОНАСС или ГЛОНАСС/GPS" (с изменениями и дополнениями)</w:t>
        </w:r>
      </w:hyperlink>
    </w:p>
    <w:p>
      <w:pPr>
        <w:pStyle w:val="Style23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1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17 декабря 2010 г., 12 ноября 2016 г.</w:t>
      </w:r>
    </w:p>
    <w:p>
      <w:pPr>
        <w:pStyle w:val="Style16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Настоящий документ включен в </w:t>
      </w:r>
      <w:hyperlink r:id="rId3">
        <w:r>
          <w:rPr>
            <w:rStyle w:val="Style13"/>
            <w:shd w:fill="F0F0F0" w:val="clear"/>
          </w:rPr>
          <w:t>перечень</w:t>
        </w:r>
      </w:hyperlink>
      <w:r>
        <w:rPr>
          <w:shd w:fill="F0F0F0" w:val="clear"/>
        </w:rPr>
        <w:t xml:space="preserve"> НПА, на которые не распространяется требование об отмене с 1 января 2021 г., установленное </w:t>
      </w:r>
      <w:hyperlink r:id="rId4">
        <w:r>
          <w:rPr>
            <w:rStyle w:val="Style13"/>
            <w:shd w:fill="F0F0F0" w:val="clear"/>
          </w:rPr>
          <w:t>Федеральным законом</w:t>
        </w:r>
      </w:hyperlink>
      <w:r>
        <w:rPr>
          <w:shd w:fill="F0F0F0" w:val="clear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целях обеспечения национальной безопасности, проведения независимой политики в области спутниковой навигации, повышения эффективности управления движением транспорта, уровня безопасности перевозок пассажиров, специальных и опасных грузов, а также совершенствования геодезических и кадастровых работ Правительство Российской Федерации постановляет: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>1. Оснащению аппаратурой спутниковой навигации ГЛОНАСС или ГЛОНАСС/GPS подлежат следующие транспортные, технические средства и системы:</w:t>
      </w:r>
    </w:p>
    <w:p>
      <w:pPr>
        <w:pStyle w:val="Normal"/>
        <w:bidi w:val="0"/>
        <w:ind w:firstLine="720"/>
        <w:rPr/>
      </w:pPr>
      <w:bookmarkStart w:id="1" w:name="sub_1"/>
      <w:bookmarkStart w:id="2" w:name="sub_11"/>
      <w:bookmarkEnd w:id="1"/>
      <w:bookmarkEnd w:id="2"/>
      <w:r>
        <w:rPr>
          <w:rStyle w:val="Style15"/>
        </w:rPr>
        <w:t>а) космические средства (ракеты-носители, разгонные блоки, космические аппараты и корабли, спускаемые капсулы (аппараты));</w:t>
      </w:r>
    </w:p>
    <w:p>
      <w:pPr>
        <w:pStyle w:val="Normal"/>
        <w:bidi w:val="0"/>
        <w:ind w:firstLine="720"/>
        <w:rPr/>
      </w:pPr>
      <w:bookmarkStart w:id="3" w:name="sub_11"/>
      <w:bookmarkStart w:id="4" w:name="sub_12"/>
      <w:bookmarkEnd w:id="3"/>
      <w:bookmarkEnd w:id="4"/>
      <w:r>
        <w:rPr>
          <w:rStyle w:val="Style15"/>
        </w:rPr>
        <w:t>б) воздушные суда государственной, гражданской и экспериментальной авиации;</w:t>
      </w:r>
    </w:p>
    <w:p>
      <w:pPr>
        <w:pStyle w:val="Normal"/>
        <w:bidi w:val="0"/>
        <w:ind w:firstLine="720"/>
        <w:rPr/>
      </w:pPr>
      <w:bookmarkStart w:id="5" w:name="sub_12"/>
      <w:bookmarkStart w:id="6" w:name="sub_13"/>
      <w:bookmarkEnd w:id="5"/>
      <w:bookmarkEnd w:id="6"/>
      <w:r>
        <w:rPr>
          <w:rStyle w:val="Style15"/>
        </w:rPr>
        <w:t>в) морские суда и суда внутреннего речного и смешанного ("река - море") плавания;</w:t>
      </w:r>
    </w:p>
    <w:p>
      <w:pPr>
        <w:pStyle w:val="Style16"/>
        <w:bidi w:val="0"/>
        <w:ind w:left="170" w:right="170" w:hanging="0"/>
        <w:jc w:val="left"/>
        <w:rPr/>
      </w:pPr>
      <w:bookmarkStart w:id="7" w:name="sub_13"/>
      <w:bookmarkStart w:id="8" w:name="sub_14"/>
      <w:bookmarkEnd w:id="7"/>
      <w:bookmarkEnd w:id="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0"/>
        <w:bidi w:val="0"/>
        <w:ind w:left="170" w:right="170" w:hanging="0"/>
        <w:jc w:val="left"/>
        <w:rPr/>
      </w:pPr>
      <w:bookmarkStart w:id="9" w:name="sub_14"/>
      <w:bookmarkEnd w:id="9"/>
      <w:r>
        <w:rPr/>
        <w:t xml:space="preserve"> </w:t>
      </w:r>
      <w:hyperlink r:id="rId5">
        <w:r>
          <w:rPr>
            <w:rStyle w:val="Style13"/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12 ноября 2016 г. N 1156 в подпункт "г" внесены изменения</w:t>
      </w:r>
    </w:p>
    <w:p>
      <w:pPr>
        <w:pStyle w:val="Style20"/>
        <w:bidi w:val="0"/>
        <w:ind w:left="170" w:right="170" w:hanging="0"/>
        <w:jc w:val="left"/>
        <w:rPr/>
      </w:pPr>
      <w:r>
        <w:rPr/>
        <w:t xml:space="preserve"> </w:t>
      </w:r>
      <w:hyperlink r:id="rId6">
        <w:r>
          <w:rPr>
            <w:rStyle w:val="Style13"/>
            <w:shd w:fill="F0F0F0" w:val="clear"/>
          </w:rPr>
          <w:t>См. текст подпункта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г) автомобильные и железнодорожные транспортные средства, используемые для перевозки пассажиров, специальных и опасных грузов, транспортирования твердых коммунальных отходов;</w:t>
      </w:r>
    </w:p>
    <w:p>
      <w:pPr>
        <w:pStyle w:val="Style16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7">
        <w:r>
          <w:rPr>
            <w:rStyle w:val="Style13"/>
            <w:shd w:fill="F0F0F0" w:val="clear"/>
          </w:rPr>
          <w:t>Правила</w:t>
        </w:r>
      </w:hyperlink>
      <w:r>
        <w:rPr>
          <w:shd w:fill="F0F0F0" w:val="clear"/>
        </w:rPr>
        <w:t xml:space="preserve"> оснащения транспортных средств категорий М</w:t>
      </w:r>
      <w:r>
        <w:rPr>
          <w:shd w:fill="F0F0F0" w:val="clear"/>
          <w:vertAlign w:val="subscript"/>
        </w:rPr>
        <w:t> 2</w:t>
      </w:r>
      <w:r>
        <w:rPr>
          <w:shd w:fill="F0F0F0" w:val="clear"/>
        </w:rPr>
        <w:t>, М</w:t>
      </w:r>
      <w:r>
        <w:rPr>
          <w:shd w:fill="F0F0F0" w:val="clear"/>
          <w:vertAlign w:val="subscript"/>
        </w:rPr>
        <w:t> 3</w:t>
      </w:r>
      <w:r>
        <w:rPr>
          <w:shd w:fill="F0F0F0" w:val="clear"/>
        </w:rPr>
        <w:t xml:space="preserve"> и транспортных средств категории N, используемых для перевозки опасных грузов, аппаратурой спутниковой навигации, утвержденные </w:t>
      </w:r>
      <w:hyperlink r:id="rId8">
        <w:r>
          <w:rPr>
            <w:rStyle w:val="Style13"/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22 декабря 2020 г. N 2216</w:t>
      </w:r>
    </w:p>
    <w:p>
      <w:pPr>
        <w:pStyle w:val="Normal"/>
        <w:bidi w:val="0"/>
        <w:ind w:firstLine="720"/>
        <w:rPr/>
      </w:pPr>
      <w:bookmarkStart w:id="10" w:name="sub_15"/>
      <w:bookmarkEnd w:id="10"/>
      <w:r>
        <w:rPr>
          <w:rStyle w:val="Style15"/>
        </w:rPr>
        <w:t>д) приборы и оборудование, используемые при проведении геодезических и кадастровых работ;</w:t>
      </w:r>
    </w:p>
    <w:p>
      <w:pPr>
        <w:pStyle w:val="Normal"/>
        <w:bidi w:val="0"/>
        <w:ind w:firstLine="720"/>
        <w:rPr/>
      </w:pPr>
      <w:bookmarkStart w:id="11" w:name="sub_15"/>
      <w:bookmarkStart w:id="12" w:name="sub_16"/>
      <w:bookmarkEnd w:id="11"/>
      <w:bookmarkEnd w:id="12"/>
      <w:r>
        <w:rPr>
          <w:rStyle w:val="Style15"/>
        </w:rPr>
        <w:t>е) средства, обеспечивающие синхронизацию времени.</w:t>
      </w:r>
    </w:p>
    <w:p>
      <w:pPr>
        <w:pStyle w:val="Style16"/>
        <w:bidi w:val="0"/>
        <w:ind w:left="170" w:right="170" w:hanging="0"/>
        <w:jc w:val="left"/>
        <w:rPr/>
      </w:pPr>
      <w:bookmarkStart w:id="13" w:name="sub_16"/>
      <w:bookmarkStart w:id="14" w:name="sub_2"/>
      <w:bookmarkEnd w:id="13"/>
      <w:bookmarkEnd w:id="14"/>
      <w:r>
        <w:rPr>
          <w:color w:val="000000"/>
          <w:sz w:val="16"/>
          <w:shd w:fill="F0F0F0" w:val="clear"/>
        </w:rPr>
        <w:t>ГАРАНТ:</w:t>
      </w:r>
    </w:p>
    <w:p>
      <w:pPr>
        <w:pStyle w:val="Style16"/>
        <w:bidi w:val="0"/>
        <w:ind w:left="170" w:right="170" w:hanging="0"/>
        <w:jc w:val="left"/>
        <w:rPr/>
      </w:pPr>
      <w:bookmarkStart w:id="15" w:name="sub_2"/>
      <w:bookmarkEnd w:id="15"/>
      <w:r>
        <w:rPr/>
        <w:t xml:space="preserve"> </w:t>
      </w:r>
      <w:hyperlink r:id="rId9">
        <w:r>
          <w:rPr>
            <w:rStyle w:val="Style13"/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25 декабря 2019 г. N АКПИ19-824 пункт 2 признан не противоречащим действующему законодательству в части полномочий федеральных органов исполнительной власти по оснащению системами спутниковой навигации ГЛОНАСС или ГЛОНАСС/GPS транспортных средств, предназначенных для перевозки пассажиров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2. Виды транспортных, технических средств и систем, указанных в подпунктах "г" - "е" пункта 1 настоящего постановления и подлежащих оснащению аппаратурой спутниковой навигации ГЛОНАСС или ГЛОНАСС/GPS, определяются федеральными органами исполнительной власти в установленной сфере деятельности.</w:t>
      </w:r>
    </w:p>
    <w:p>
      <w:pPr>
        <w:pStyle w:val="Style16"/>
        <w:bidi w:val="0"/>
        <w:ind w:left="170" w:right="170" w:hanging="0"/>
        <w:jc w:val="left"/>
        <w:rPr/>
      </w:pPr>
      <w:bookmarkStart w:id="16" w:name="sub_3"/>
      <w:bookmarkEnd w:id="16"/>
      <w:r>
        <w:rPr>
          <w:color w:val="000000"/>
          <w:sz w:val="16"/>
          <w:shd w:fill="F0F0F0" w:val="clear"/>
        </w:rPr>
        <w:t>ГАРАНТ:</w:t>
      </w:r>
    </w:p>
    <w:p>
      <w:pPr>
        <w:pStyle w:val="Style16"/>
        <w:bidi w:val="0"/>
        <w:ind w:left="170" w:right="170" w:hanging="0"/>
        <w:jc w:val="left"/>
        <w:rPr/>
      </w:pPr>
      <w:bookmarkStart w:id="17" w:name="sub_3"/>
      <w:bookmarkEnd w:id="17"/>
      <w:r>
        <w:rPr/>
        <w:t xml:space="preserve"> </w:t>
      </w:r>
      <w:hyperlink r:id="rId10">
        <w:r>
          <w:rPr>
            <w:rStyle w:val="Style13"/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25 декабря 2019 г. N АКПИ19-824 пункт 3 признан не противоречащим действующему законодательству в части полномочий федеральных органов исполнительной власти по оснащению системами спутниковой навигации ГЛОНАСС или ГЛОНАСС/GPS транспортных средств, предназначенных для перевозки пассажиров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3. Оснащению аппаратурой спутниковой навигации ГЛОНАСС или ГЛОНАСС/GPS подлежат технические средства и системы, образцы вооружения, военная и специальная техника, предназначенные для Вооруженных Сил Российской Федерации, других войск, воинских формирований и органов, в которых предусмотрена военная и приравненная к ней служба, а также транспортные средства, поставляемые и используемые для обеспечения органов, в которых предусмотрена военная и приравненная к ней служба.</w:t>
      </w:r>
    </w:p>
    <w:p>
      <w:pPr>
        <w:pStyle w:val="Normal"/>
        <w:bidi w:val="0"/>
        <w:ind w:firstLine="720"/>
        <w:rPr/>
      </w:pPr>
      <w:hyperlink r:id="rId11">
        <w:r>
          <w:rPr>
            <w:rStyle w:val="Style13"/>
          </w:rPr>
          <w:t>Перечень</w:t>
        </w:r>
      </w:hyperlink>
      <w:r>
        <w:rPr>
          <w:rStyle w:val="Style15"/>
        </w:rPr>
        <w:t xml:space="preserve"> технических средств и систем, образцов вооружения, военной и специальной техники, а также транспортных средств, подлежащих оснащению аппаратурой спутниковой навигации ГЛОНАСС или ГЛОНАСС/GPS, определяется руководителем соответствующего федерального органа исполнительной власти.</w:t>
      </w:r>
    </w:p>
    <w:p>
      <w:pPr>
        <w:pStyle w:val="Normal"/>
        <w:bidi w:val="0"/>
        <w:ind w:firstLine="720"/>
        <w:rPr/>
      </w:pPr>
      <w:bookmarkStart w:id="18" w:name="sub_4"/>
      <w:bookmarkEnd w:id="18"/>
      <w:r>
        <w:rPr>
          <w:rStyle w:val="Style15"/>
        </w:rPr>
        <w:t>4. Федеральным органам исполнительной власти, в которых предусмотрена военная и приравненная к ней служба, утвердить в 2008 году порядок и этапность оснащения аппаратурой спутниковой навигации ГЛОНАСС или ГЛОНАСС/GPS транспортных, технических средств и систем, указанных в пунктах 1 и 3 настоящего постановления.</w:t>
      </w:r>
    </w:p>
    <w:p>
      <w:pPr>
        <w:pStyle w:val="Normal"/>
        <w:bidi w:val="0"/>
        <w:ind w:firstLine="720"/>
        <w:rPr/>
      </w:pPr>
      <w:bookmarkStart w:id="19" w:name="sub_4"/>
      <w:bookmarkStart w:id="20" w:name="sub_5"/>
      <w:bookmarkEnd w:id="19"/>
      <w:bookmarkEnd w:id="20"/>
      <w:r>
        <w:rPr>
          <w:rStyle w:val="Style15"/>
        </w:rPr>
        <w:t xml:space="preserve">5. Федеральным органам исполнительной власти обеспечить с 2010 года проведение работ по поэтапному оснащению аппаратурой спутниковой навигации ГЛОНАСС или ГЛОНАСС/GPS находящихся в эксплуатации (вводимых в эксплуатацию) транспортных, технических средств и систем, указанных в </w:t>
      </w:r>
      <w:hyperlink w:anchor="sub_1">
        <w:r>
          <w:rPr>
            <w:rStyle w:val="Style13"/>
          </w:rPr>
          <w:t>пункте 1</w:t>
        </w:r>
      </w:hyperlink>
      <w:r>
        <w:rPr>
          <w:rStyle w:val="Style15"/>
        </w:rPr>
        <w:t xml:space="preserve"> настоящего постановления.</w:t>
      </w:r>
    </w:p>
    <w:p>
      <w:pPr>
        <w:pStyle w:val="Style16"/>
        <w:bidi w:val="0"/>
        <w:ind w:left="170" w:right="170" w:hanging="0"/>
        <w:jc w:val="left"/>
        <w:rPr/>
      </w:pPr>
      <w:bookmarkStart w:id="21" w:name="sub_5"/>
      <w:bookmarkStart w:id="22" w:name="sub_6"/>
      <w:bookmarkEnd w:id="21"/>
      <w:bookmarkEnd w:id="2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0"/>
        <w:bidi w:val="0"/>
        <w:ind w:left="170" w:right="170" w:hanging="0"/>
        <w:jc w:val="left"/>
        <w:rPr/>
      </w:pPr>
      <w:bookmarkStart w:id="23" w:name="sub_6"/>
      <w:bookmarkEnd w:id="23"/>
      <w:r>
        <w:rPr/>
        <w:t xml:space="preserve"> </w:t>
      </w:r>
      <w:hyperlink r:id="rId12">
        <w:r>
          <w:rPr>
            <w:rStyle w:val="Style13"/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17 декабря 2010 г. N 1045 пункт 6 настоящего постановления изложен в новой редакции, </w:t>
      </w:r>
      <w:hyperlink r:id="rId13">
        <w:r>
          <w:rPr>
            <w:rStyle w:val="Style13"/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января 2011 г.</w:t>
      </w:r>
    </w:p>
    <w:p>
      <w:pPr>
        <w:pStyle w:val="Style20"/>
        <w:bidi w:val="0"/>
        <w:ind w:left="170" w:right="170" w:hanging="0"/>
        <w:jc w:val="left"/>
        <w:rPr/>
      </w:pPr>
      <w:r>
        <w:rPr/>
        <w:t xml:space="preserve"> </w:t>
      </w:r>
      <w:hyperlink r:id="rId14">
        <w:r>
          <w:rPr>
            <w:rStyle w:val="Style13"/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6.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закрепленных на праве оперативного управления за федеральными органами исполнительной власти или подведомственными им федеральными государственными учреждениями и федеральными казенными предприятиями, осуществляется в пределах бюджетных ассигнований и лимитов бюджетных обязательств, предусмотренных в установленном порядке на указанные цели соответствующим главным распорядителям средств федерального бюджета, за исключением расходов, связанных с оснащением технических, транспортных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служба.</w:t>
      </w:r>
    </w:p>
    <w:p>
      <w:pPr>
        <w:pStyle w:val="Normal"/>
        <w:bidi w:val="0"/>
        <w:ind w:firstLine="720"/>
        <w:rPr/>
      </w:pPr>
      <w:bookmarkStart w:id="24" w:name="sub_7"/>
      <w:bookmarkEnd w:id="24"/>
      <w:r>
        <w:rPr>
          <w:rStyle w:val="Style15"/>
        </w:rPr>
        <w:t>7.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служба, осуществляется в пределах бюджетных ассигнований, предусматриваемых в установленном порядке на реализацию мероприятий государственной программы вооружения.</w:t>
      </w:r>
    </w:p>
    <w:p>
      <w:pPr>
        <w:pStyle w:val="Normal"/>
        <w:bidi w:val="0"/>
        <w:ind w:firstLine="720"/>
        <w:rPr/>
      </w:pPr>
      <w:bookmarkStart w:id="25" w:name="sub_7"/>
      <w:bookmarkStart w:id="26" w:name="sub_8"/>
      <w:bookmarkEnd w:id="25"/>
      <w:bookmarkEnd w:id="26"/>
      <w:r>
        <w:rPr>
          <w:rStyle w:val="Style15"/>
        </w:rPr>
        <w:t xml:space="preserve">8. Рекомендовать органам исполнительной власти субъектов Российской Федерации, органам местного самоуправления муниципальных образований и подведомственным им организациям принять меры по оснащению аппаратурой спутниковой навигации ГЛОНАСС или ГЛОНАСС/GPS транспортных, технических средств и систем, указанных в </w:t>
      </w:r>
      <w:hyperlink w:anchor="sub_12">
        <w:r>
          <w:rPr>
            <w:rStyle w:val="Style13"/>
          </w:rPr>
          <w:t>подпунктах "б" - "е" пункта 1</w:t>
        </w:r>
      </w:hyperlink>
      <w:r>
        <w:rPr>
          <w:rStyle w:val="Style15"/>
        </w:rPr>
        <w:t xml:space="preserve"> настоящего постановления, закрепленных в установленном порядке за этими органами и организациями.</w:t>
      </w:r>
    </w:p>
    <w:p>
      <w:pPr>
        <w:pStyle w:val="Normal"/>
        <w:bidi w:val="0"/>
        <w:ind w:firstLine="720"/>
        <w:rPr/>
      </w:pPr>
      <w:bookmarkStart w:id="27" w:name="sub_8"/>
      <w:bookmarkStart w:id="28" w:name="sub_9"/>
      <w:bookmarkEnd w:id="27"/>
      <w:bookmarkEnd w:id="28"/>
      <w:r>
        <w:rPr>
          <w:rStyle w:val="Style15"/>
        </w:rPr>
        <w:t xml:space="preserve">9. Установить, что руководители федеральных органов исполнительной власти несут персональную ответственность за организацию работ по оснащению аппаратурой спутниковой навигации ГЛОНАСС или ГЛОНАСС/GPS транспортных, технических средств и систем, указанных в </w:t>
      </w:r>
      <w:hyperlink w:anchor="sub_1">
        <w:r>
          <w:rPr>
            <w:rStyle w:val="Style13"/>
          </w:rPr>
          <w:t>пунктах 1</w:t>
        </w:r>
      </w:hyperlink>
      <w:r>
        <w:rPr>
          <w:rStyle w:val="Style15"/>
        </w:rPr>
        <w:t xml:space="preserve"> и </w:t>
      </w:r>
      <w:hyperlink w:anchor="sub_3">
        <w:r>
          <w:rPr>
            <w:rStyle w:val="Style13"/>
          </w:rPr>
          <w:t>3</w:t>
        </w:r>
      </w:hyperlink>
      <w:r>
        <w:rPr>
          <w:rStyle w:val="Style15"/>
        </w:rPr>
        <w:t xml:space="preserve"> настоящего постановления.</w:t>
      </w:r>
    </w:p>
    <w:p>
      <w:pPr>
        <w:pStyle w:val="Normal"/>
        <w:bidi w:val="0"/>
        <w:ind w:firstLine="720"/>
        <w:rPr/>
      </w:pPr>
      <w:bookmarkStart w:id="29" w:name="sub_9"/>
      <w:bookmarkStart w:id="30" w:name="sub_10"/>
      <w:bookmarkEnd w:id="29"/>
      <w:bookmarkEnd w:id="30"/>
      <w:r>
        <w:rPr>
          <w:rStyle w:val="Style15"/>
        </w:rPr>
        <w:t>10. Признать утратившими силу постановления Правительства Российской Федерации:</w:t>
      </w:r>
    </w:p>
    <w:p>
      <w:pPr>
        <w:pStyle w:val="Normal"/>
        <w:bidi w:val="0"/>
        <w:ind w:firstLine="720"/>
        <w:rPr/>
      </w:pPr>
      <w:hyperlink r:id="rId15">
        <w:bookmarkStart w:id="31" w:name="sub_10"/>
        <w:bookmarkStart w:id="32" w:name="sub_101"/>
        <w:bookmarkEnd w:id="31"/>
        <w:bookmarkEnd w:id="32"/>
        <w:r>
          <w:rPr>
            <w:rStyle w:val="Style13"/>
          </w:rPr>
          <w:t>от 3 августа 1999 г. N 896</w:t>
        </w:r>
      </w:hyperlink>
      <w:r>
        <w:rPr>
          <w:rStyle w:val="Style15"/>
        </w:rPr>
        <w:t xml:space="preserve"> "Об использовании в Российской Федерации глобальных навигационных спутниковых систем на транспорте и в геодезии" (Собрание законодательства Российской Федерации, 1999, N 33, ст. 4118);</w:t>
      </w:r>
    </w:p>
    <w:p>
      <w:pPr>
        <w:pStyle w:val="Normal"/>
        <w:bidi w:val="0"/>
        <w:ind w:firstLine="720"/>
        <w:rPr/>
      </w:pPr>
      <w:hyperlink r:id="rId16">
        <w:bookmarkStart w:id="33" w:name="sub_101"/>
        <w:bookmarkStart w:id="34" w:name="sub_102"/>
        <w:bookmarkEnd w:id="33"/>
        <w:bookmarkEnd w:id="34"/>
        <w:r>
          <w:rPr>
            <w:rStyle w:val="Style13"/>
          </w:rPr>
          <w:t>от 9 июня 2005 г. N 365</w:t>
        </w:r>
      </w:hyperlink>
      <w:r>
        <w:rPr>
          <w:rStyle w:val="Style15"/>
        </w:rPr>
        <w:t xml:space="preserve"> "Об оснащении космических, транспортных средств, а также средств, предназначенных для выполнения геодезических и кадастровых работ, аппаратурой спутниковой навигации ГЛОНАСС или ГЛОНАСС/GPS" (Собрание законодательства Российской Федерации, 2005, N 25, ст. 2502).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5" w:name="sub_102"/>
      <w:bookmarkStart w:id="36" w:name="sub_102"/>
      <w:bookmarkEnd w:id="36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19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В. Путин</w:t>
            </w:r>
          </w:p>
        </w:tc>
      </w:tr>
    </w:tbl>
    <w:p>
      <w:pPr>
        <w:pStyle w:val="Normal"/>
        <w:widowControl w:val="false"/>
        <w:bidi w:val="0"/>
        <w:ind w:firstLine="720"/>
        <w:rPr/>
      </w:pPr>
      <w:r>
        <w:rPr/>
      </w:r>
    </w:p>
    <w:sectPr>
      <w:headerReference w:type="default" r:id="rId17"/>
      <w:footerReference w:type="default" r:id="rId18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 CYR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24.08.2023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Постановление Правительства РФ от 25 августа 2008 г. N 641 "Об оснащении транспортных, технических средств…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Комментарий"/>
    <w:basedOn w:val="Style17"/>
    <w:next w:val="Normal"/>
    <w:qFormat/>
    <w:pPr>
      <w:spacing w:before="75" w:after="0"/>
      <w:ind w:left="170" w:hanging="0"/>
    </w:pPr>
    <w:rPr>
      <w:color w:val="353842"/>
    </w:rPr>
  </w:style>
  <w:style w:type="paragraph" w:styleId="Style17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1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19">
    <w:name w:val="Нормальный (таблица)"/>
    <w:basedOn w:val="Normal"/>
    <w:next w:val="Normal"/>
    <w:qFormat/>
    <w:pPr>
      <w:ind w:hanging="0"/>
    </w:pPr>
    <w:rPr/>
  </w:style>
  <w:style w:type="paragraph" w:styleId="Style20">
    <w:name w:val="Информация о версии"/>
    <w:basedOn w:val="Style16"/>
    <w:next w:val="Normal"/>
    <w:qFormat/>
    <w:pPr>
      <w:spacing w:before="75" w:after="0"/>
      <w:ind w:left="170" w:hanging="0"/>
    </w:pPr>
    <w:rPr>
      <w:i/>
      <w:color w:val="353842"/>
    </w:rPr>
  </w:style>
  <w:style w:type="paragraph" w:styleId="Style21">
    <w:name w:val="Информация об изменениях"/>
    <w:basedOn w:val="Style22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2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3">
    <w:name w:val="Подзаголовок для информации об изменениях"/>
    <w:basedOn w:val="Style22"/>
    <w:next w:val="Normal"/>
    <w:qFormat/>
    <w:pPr>
      <w:ind w:firstLine="720"/>
    </w:pPr>
    <w:rPr>
      <w:b/>
      <w:color w:val="353842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62134/0" TargetMode="External"/><Relationship Id="rId3" Type="http://schemas.openxmlformats.org/officeDocument/2006/relationships/hyperlink" Target="http://ivo.garant.ru/document/redirect/400170320/10001" TargetMode="External"/><Relationship Id="rId4" Type="http://schemas.openxmlformats.org/officeDocument/2006/relationships/hyperlink" Target="http://ivo.garant.ru/document/redirect/74449388/151" TargetMode="External"/><Relationship Id="rId5" Type="http://schemas.openxmlformats.org/officeDocument/2006/relationships/hyperlink" Target="http://ivo.garant.ru/document/redirect/71540160/3" TargetMode="External"/><Relationship Id="rId6" Type="http://schemas.openxmlformats.org/officeDocument/2006/relationships/hyperlink" Target="http://ivo.garant.ru/document/redirect/57412825/14" TargetMode="External"/><Relationship Id="rId7" Type="http://schemas.openxmlformats.org/officeDocument/2006/relationships/hyperlink" Target="http://ivo.garant.ru/document/redirect/400126662/1000" TargetMode="External"/><Relationship Id="rId8" Type="http://schemas.openxmlformats.org/officeDocument/2006/relationships/hyperlink" Target="http://ivo.garant.ru/document/redirect/400126662/0" TargetMode="External"/><Relationship Id="rId9" Type="http://schemas.openxmlformats.org/officeDocument/2006/relationships/hyperlink" Target="http://ivo.garant.ru/document/redirect/73456237/1111" TargetMode="External"/><Relationship Id="rId10" Type="http://schemas.openxmlformats.org/officeDocument/2006/relationships/hyperlink" Target="http://ivo.garant.ru/document/redirect/73456237/1111" TargetMode="External"/><Relationship Id="rId11" Type="http://schemas.openxmlformats.org/officeDocument/2006/relationships/hyperlink" Target="http://ivo.garant.ru/document/redirect/74901466/1000" TargetMode="External"/><Relationship Id="rId12" Type="http://schemas.openxmlformats.org/officeDocument/2006/relationships/hyperlink" Target="http://ivo.garant.ru/document/redirect/12181398/1027" TargetMode="External"/><Relationship Id="rId13" Type="http://schemas.openxmlformats.org/officeDocument/2006/relationships/hyperlink" Target="http://ivo.garant.ru/document/redirect/12181398/3" TargetMode="External"/><Relationship Id="rId14" Type="http://schemas.openxmlformats.org/officeDocument/2006/relationships/hyperlink" Target="http://ivo.garant.ru/document/redirect/5635750/6" TargetMode="External"/><Relationship Id="rId15" Type="http://schemas.openxmlformats.org/officeDocument/2006/relationships/hyperlink" Target="http://ivo.garant.ru/document/redirect/180725/0" TargetMode="External"/><Relationship Id="rId16" Type="http://schemas.openxmlformats.org/officeDocument/2006/relationships/hyperlink" Target="http://ivo.garant.ru/document/redirect/188271/0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